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157 vom 15. November 2018</w:t>
      </w:r>
    </w:p>
    <w:p>
      <w:r>
        <w:t>SZ Gerichte, 2018-11-15, DE</w:t>
      </w:r>
    </w:p>
    <w:p>
      <w:r>
        <w:rPr>
          <w:b/>
        </w:rPr>
        <w:t xml:space="preserve">Quelle: </w:t>
      </w:r>
      <w:r>
        <w:t>https://mcp.opencaselaw.ch/entscheid/sz_gerichte_BEK 2017 157</w:t>
      </w:r>
    </w:p>
    <w:p>
      <w:r>
        <w:t>FR: SZ_GERICHTE BEK 2017 157 du 15 novembre 2018</w:t>
      </w:r>
    </w:p>
    <w:p>
      <w:r>
        <w:t>IT: SZ_GERICHTE BEK 2017 157 del 15 novembre 2018</w:t>
      </w:r>
    </w:p>
    <w:p>
      <w:pPr>
        <w:pStyle w:val="Heading2"/>
      </w:pPr>
      <w:r>
        <w:t>Regeste</w:t>
      </w:r>
    </w:p>
    <w:p>
      <w:r>
        <w:t>Nichtanhandnahme (Zweckentfremdung von Arbeitnehmerbeiträgen, Art. 87 Abs. 3 aAHVG) (EGV-SZ 2018 A 5.2) | Nichtanhandnahme Strafverfahren</w:t>
      </w:r>
    </w:p>
    <w:p>
      <w:pPr>
        <w:pStyle w:val="Heading2"/>
      </w:pPr>
      <w:r>
        <w:t>Erwägungen</w:t>
      </w:r>
    </w:p>
    <w:p>
      <w:r>
        <w:rPr>
          <w:b/>
        </w:rPr>
        <w:t>E. 1</w:t>
      </w:r>
    </w:p>
    <w:p>
      <w:r>
        <w:t>Staatsanwaltschaft des Bezirks March, Rathausplatz 1, Postfach 162, 8853 Lachen, Strafverfolgungsbehörde und Beschwerdegegnerin, vertreten durch Staatsanwältin B.________,</w:t>
      </w:r>
    </w:p>
    <w:p>
      <w:r>
        <w:rPr>
          <w:b/>
        </w:rPr>
        <w:t>E. 2</w:t>
      </w:r>
    </w:p>
    <w:p>
      <w:r>
        <w:t>Hinzu kommt, dass die beigebrachten Akten den Nachweis der vorsätz- lichen Zweckentfremdung von Arbeitnehmerbeträgen nicht zu erbringen ver- mögen. Die Beschwerdeführerin reichte mit ihrer Beschwerde vom 6. Oktober</w:t>
      </w:r>
    </w:p>
    <w:p>
      <w:r>
        <w:t>Kantonsgericht Schwyz 9 2017 (Posteingang: 9. Oktober 2017) eine Beilage zur Rekapitulation der Gehälter des Jahres 2013 ein (KG-act. 1). Gegenstand der Strafanzeige und der Strafuntersuchung SUM 2015 385 war jedoch das Beitragsjahr 2011. Zum Zeitpunkt des aus der Strafanzeige hervorgehenden Beitragsjahres 2011 war die altrechtliche Bestimmung nach Art. 87 Abs. 3 aAHVG/2011 in Kraft. Da- nach machte sich strafbar, wer als Arbeitgeber einem Arbeitnehmer Beiträge vom Lohn abzog, sie indessen dem vorgesehenen Zwecke entfremdete (siehe Art. 70 IVG/2011 und Art. 25 EOG/2011). Diese Strafandrohung bezog sich ausdrücklich nur auf die Zweckentfremdung von Arbeitnehmerbeiträgen und nicht auch auf die Nichtbezahlung von Arbeitgeberbeiträgen (BGE 113 V 256 S. 259 E. 4b). Der Beschwerdegegner ist nach dieser altrechtlichen Bestim- mung zu beurteilen, da die seit dem 1. Januar 2012 in Kraft getretene Rege- lung in Art. 87 Abs. 3 aAHVG/2011 (Art. 87 Abs. 4 AHVG/2018) sich zulasten des Beschwerdegegners auswirkt. Es liegt mithin kein Anwendungsfall der sog. lex mitior-Regel nach Art. 2 Abs. 2 StGB vor, welche die Rückwirkung des milderen Gesetzes vorsieht. Der Gesetzgeber hat die Strafbestimmung in Art. 87 Abs. 3 aAHVG/2011 aus Sicht des Arbeitgebers verschärft. Nach der Neufassung in Art. 87 Abs. 3 aAHVG/2012 bzw. Art. 87 Abs. 4 AHVG/2018 vermag sich der Arbeitgeber mit dem Einwand fehlender Mittel – im Gegen- satz zur früheren Vorschrift in Art. 87 Abs. 3 aAHVG/2011 – nicht mehr zu entlasten (BGE 6B_1340/2015 des Bundesgerichts vom 17. März 2017 E. 7.3 mit Verweis auf die Botschaft des Bundesrates vom 3. Dezember zur Ände- rung des Bundesgesetzes für die Alters- und Hinterlassenenversicherung [AHVG], Verbesserung der Durchführung, BBl 2011 543 ff., S. 563). Aufgrund der Anwendung von Art. 87 Abs. 3 aAHVG/2011 ist die zu dieser Strafbe- stimmung entwickelte bundesgerichtliche Rechtsprechung beizuziehen. Da- nach sind Arbeitgeber, denen im Zeitpunkt der Lohnauszahlung die für die Entrichtung der Sozialversicherungsbeiträge notwendigen Mittel fehlen, nicht strafbar (BGE 117 IV 78 S. 78 Regeste; BGE 122 IV 270 S. 274 E. 2b m.w.H.; siehe BBl 2011 543 ff., a.a.O., S. 563 m.w.H.). In der WBB (Version 5; Rand- ziffer 9008) ist unter Berücksichtigung der vorgenannten Rechtsprechung</w:t>
      </w:r>
    </w:p>
    <w:p>
      <w:r>
        <w:t>Kantonsgericht Schwyz 10 festgehalten, dass Arbeitnehmerbeiträge nur dann als vom Lohn abgezogen gelten, wenn ein um die Arbeitnehmerbeiträge gekürzter Lohn ausbezahlt wurde. Dies sei indessen nicht der Fall, wenn den Arbeitgebenden im Zeit- punkt der Lohnzahlung die dem Arbeitnehmerbeitrag entsprechenden Mittel fehlten. Eine Zweckentfremdung sei in diesem Fall nicht gegeben (Randziffer 9009). Die von der Beschwerdeführerin erwähnte Version 6 der WBB (ab 1. Januar 2012; Randziffern 9007 f.) lässt diese Rechtsprechung des Bundes- gerichts ausser Betracht und ist nicht zu berücksichtigen, da sie sich auf die neurechtliche Regelung von Art. 87 Abs. 3 aAHVG/2012 bzw. Art. 87 Abs. 4 AHVG/2018 bezieht. Aus den Materialien und der Rechtsprechung zu Art. 87 Abs. 3 aAHVG/2011 ergibt sich der Grundgedanke der Substraterhaltungs- pflicht des Arbeitgebers (Murer/Stauffer [Hrsg.], Rechtsprechung des Bundes- gerichts zum Sozialversicherungsrecht, Alters- und Hinterlassenenversiche- rung, 3. A., Zürich/Basel/Genf 2012, N 3 zu Art. 87 AHVG). Diese ist aber nur dann von Bedeutung, wenn überhaupt ein solches Substrat besteht (vgl. BGE 117 IV 78 S. 78 Regeste und S. 81 E. 2d/aa). Aus den Akten ergibt sich, dass der Beschwerdegegner im Jahr 2011 derart hohe Schulden hatte, dass ihm mehrfach der Konkurs angedroht worden ist (U-act. 1.1.03 ff.; U-act. 3.1.05). Es ist offensichtlich, dass ihm das Substrat zur Begleichung der Arbeitnehmerbeiträge fehlte, weshalb nicht von einer vorsätzlichen Zweckent- fremdung auszugehen ist. Die fahrlässige Erfüllung des in Art. 87 Abs. 3 aAHVG/2011 umschriebenen Straftatbestandes ist nicht mit Strafe bedroht (Art. 87 Abs. 3 aAHVG/2011 i.V.m. Art. 333 Abs. 1 StGB und Art. 12 Abs. 1 StGB sowie Art. 1 Abs. 1 aAHVG/2011 und Art. 79 ATSG; BGE 113 V 256 S. 260 E. 4c). Der Verweis der Beschwerdeführerin auf die grobe Fahrlässig- keit in Randziffer 8028 WBB bezieht sich auf die Arbeitgeberhaftung nach Art. 52 AHVG. Diese Arbeitgeberhaftung ist von der strafrechtlichen Verant- wortlichkeit eines Arbeitgebers durch die Zweckentfremdung von Arbeitneh- merbeiträgen abzugrenzen.</w:t>
      </w:r>
    </w:p>
    <w:p>
      <w:r>
        <w:t>Kantonsgericht Schwyz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